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Сегодня в России отмечается День социального работника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 w:before="0" w:after="24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8 июня отмечается профессиональный праздник всех сотрудников социальной сферы, работающих для пенсионеров, инвалидов, детей, для тех, кто наиболее нуждается в защите и поддержке. </w:t>
      </w:r>
    </w:p>
    <w:p>
      <w:pPr>
        <w:pStyle w:val="Normal"/>
        <w:widowControl w:val="false"/>
        <w:bidi w:val="0"/>
        <w:spacing w:lineRule="auto" w:line="276" w:before="0" w:after="24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Отделение Пенсионного фонда по Иркутской области обслуживает 769 тыс. получателей пенсии, 250 тыс. получателей ежемесячной денежной выплаты, в системе персонифицированного учета зарегистрировано 3,4 млн застрахованных лиц. Сумма выплат жителям Приангарья в течение 2017 года составила 144 млрд рублей. </w:t>
      </w:r>
    </w:p>
    <w:p>
      <w:pPr>
        <w:pStyle w:val="Normal"/>
        <w:widowControl w:val="false"/>
        <w:bidi w:val="0"/>
        <w:spacing w:lineRule="auto" w:line="276" w:before="0" w:after="24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В Приангарье работают 23 территориальных Управления ПФР и 46 клиентских служб, которые принимают граждан ежедневно в течение всей рабочей недели. </w:t>
      </w:r>
    </w:p>
    <w:p>
      <w:pPr>
        <w:pStyle w:val="Normal"/>
        <w:widowControl w:val="false"/>
        <w:bidi w:val="0"/>
        <w:spacing w:lineRule="auto" w:line="276" w:before="0" w:after="24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Доступность государственных услуг для всех категорий населения также обеспечивается развитием и постоянным совершенствованием электронных сервисов Пенсионного фонда. Все услуги и сервисы, предоставляемые ПФР в электронном виде, объединены в единый портал на сайте </w:t>
      </w:r>
      <w:hyperlink r:id="rId2">
        <w:r>
          <w:rPr>
            <w:rStyle w:val="Style13"/>
            <w:rFonts w:cs="Arial" w:ascii="Arial" w:hAnsi="Arial"/>
            <w:sz w:val="23"/>
            <w:szCs w:val="23"/>
            <w:lang w:val="ru-RU" w:eastAsia="ru-RU" w:bidi="ar-SA"/>
          </w:rPr>
          <w:t>Пенсионного фонда</w:t>
        </w:r>
      </w:hyperlink>
      <w:r>
        <w:rPr>
          <w:rFonts w:cs="Arial" w:ascii="Arial" w:hAnsi="Arial"/>
          <w:color w:val="000000"/>
          <w:sz w:val="23"/>
          <w:szCs w:val="23"/>
        </w:rPr>
        <w:t xml:space="preserve">. </w:t>
      </w:r>
    </w:p>
    <w:p>
      <w:pPr>
        <w:pStyle w:val="Normal"/>
        <w:widowControl w:val="false"/>
        <w:bidi w:val="0"/>
        <w:spacing w:lineRule="auto" w:line="276" w:before="0" w:after="24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Кроме того, Пенсионный фонд завершил разработку платформы единой государственной системы информационного обеспечения (ЕГИССО). ЕГИССО является  информационной системой, позволяющей гражданам и органам власти получать актуальную информацию о мерах социальной поддержки, оказываемых из бюджетов всех уровней, как в отношении отдельно взятого человека, так и в целом по стране, а также получать сведения, необходимые для адресного предоставления мер социальной поддержки. Единый Классификатор мер социальной защиты (поддержки) населения, предоставляемых на территории Российской Федерации,  включает 11 групп направлений. Оператором системы является ПФР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Отделение Пенсионного фонда ведет широкую общественную деятельность, активно сотрудничает с «Союзом пенсионеров России» и другими организациями, оказывает активное содействие в проведении творческих и спортивных мероприятий для представителей старшего поколения. Кстати, в настоящее время объявлен конкурс «Преград.net» для представителей старшего поколения. Для участия в конкурсе пенсионеру необходимо вступить в официальную группу Отделения ПФР по Иркутской области в социальной сети Одноклассники (</w:t>
      </w:r>
      <w:r>
        <w:rPr>
          <w:rFonts w:cs="Arial" w:ascii="Arial" w:hAnsi="Arial"/>
          <w:color w:val="000099"/>
          <w:sz w:val="22"/>
          <w:szCs w:val="22"/>
        </w:rPr>
        <w:t>ok.ru/pfr.irkutsk</w:t>
      </w:r>
      <w:r>
        <w:rPr>
          <w:rFonts w:cs="Arial" w:ascii="Arial" w:hAnsi="Arial"/>
          <w:color w:val="000000"/>
          <w:sz w:val="23"/>
          <w:szCs w:val="23"/>
        </w:rPr>
        <w:t xml:space="preserve">) и опубликовать там свою историю, соответствующую тематике одной из трех номинаций. </w:t>
      </w:r>
      <w:r>
        <w:rPr>
          <w:rFonts w:cs="Arial" w:ascii="Arial" w:hAnsi="Arial"/>
          <w:sz w:val="22"/>
          <w:szCs w:val="22"/>
        </w:rPr>
        <w:t>Подробности  в официальной группе Отделения ПФР по Иркутской области в социальной сети Одноклассники (</w:t>
      </w:r>
      <w:r>
        <w:rPr>
          <w:rFonts w:cs="Arial" w:ascii="Arial" w:hAnsi="Arial"/>
          <w:color w:val="000099"/>
          <w:sz w:val="22"/>
          <w:szCs w:val="22"/>
        </w:rPr>
        <w:t>ok.ru/pfr.irkutsk</w:t>
      </w:r>
      <w:r>
        <w:rPr>
          <w:rFonts w:cs="Arial" w:ascii="Arial" w:hAnsi="Arial"/>
          <w:sz w:val="22"/>
          <w:szCs w:val="22"/>
        </w:rPr>
        <w:t xml:space="preserve">) и на сайте ПФР в разделе </w:t>
      </w:r>
      <w:hyperlink r:id="rId3">
        <w:r>
          <w:rPr>
            <w:rStyle w:val="Style13"/>
            <w:rFonts w:cs="Arial" w:ascii="Arial" w:hAnsi="Arial"/>
            <w:sz w:val="22"/>
            <w:szCs w:val="22"/>
            <w:lang w:val="ru-RU" w:eastAsia="ru-RU" w:bidi="ar-SA"/>
          </w:rPr>
          <w:t>«Жителям региона»</w:t>
        </w:r>
      </w:hyperlink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Пенсионный фонд ежегодно финансирует областные социальные программы. Средства направляются на ремонт и содержание учреждений социального обслуживания, адресную социальную помощь пенсионерам, а также на обучение компьютерной грамотности неработающих пенсионеров Приангарья. В текущем году на эти цели ПФР выделил субсидию в размере 871,8 тыс. руб. при софинансировании из областного бюджета в размере 392 тыс. руб. На эти средства планируется обучить 850 человек.</w:t>
      </w:r>
    </w:p>
    <w:p>
      <w:pPr>
        <w:pStyle w:val="Normal"/>
        <w:widowControl w:val="false"/>
        <w:bidi w:val="0"/>
        <w:spacing w:lineRule="auto" w:line="276" w:before="0" w:after="240"/>
        <w:ind w:left="0" w:right="0" w:hanging="0"/>
        <w:jc w:val="both"/>
        <w:textAlignment w:val="auto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16"/>
          <w:szCs w:val="16"/>
        </w:rPr>
        <w:t>Дата рассылки: 08.06.2018</w:t>
      </w:r>
    </w:p>
    <w:sectPr>
      <w:footerReference w:type="default" r:id="rId4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://www.pfrf.ru/branches/irkutsk/info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LibreOffice/5.2.2.2$Windows_x86 LibreOffice_project/8f96e87c890bf8fa77463cd4b640a2312823f3ad</Application>
  <Pages>1</Pages>
  <Words>356</Words>
  <Characters>2527</Characters>
  <CharactersWithSpaces>2880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2018-06-05T11:46:00Z</dcterms:created>
  <dc:creator>Хаустова Н.Б.</dc:creator>
  <dc:description/>
  <dc:language>ru-RU</dc:language>
  <cp:lastModifiedBy/>
  <cp:lastPrinted>2018-04-05T15:48:00Z</cp:lastPrinted>
  <dcterms:modified xsi:type="dcterms:W3CDTF">2018-06-08T10:31:56Z</dcterms:modified>
  <cp:revision>11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